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04D" w:rsidRPr="0031237F" w:rsidRDefault="007F404D" w:rsidP="007F404D">
      <w:pPr>
        <w:autoSpaceDE w:val="0"/>
        <w:autoSpaceDN w:val="0"/>
        <w:adjustRightInd w:val="0"/>
        <w:ind w:firstLine="709"/>
        <w:jc w:val="center"/>
        <w:rPr>
          <w:b/>
          <w:color w:val="000000"/>
          <w:lang w:val="kk-KZ"/>
        </w:rPr>
      </w:pPr>
      <w:r>
        <w:rPr>
          <w:b/>
          <w:color w:val="000000"/>
          <w:lang w:val="kk-KZ"/>
        </w:rPr>
        <w:t>Лекция 3</w:t>
      </w:r>
    </w:p>
    <w:p w:rsidR="007F404D" w:rsidRPr="008B6BBE" w:rsidRDefault="007F404D" w:rsidP="007F404D">
      <w:pPr>
        <w:autoSpaceDE w:val="0"/>
        <w:autoSpaceDN w:val="0"/>
        <w:adjustRightInd w:val="0"/>
        <w:ind w:firstLine="709"/>
        <w:jc w:val="center"/>
        <w:rPr>
          <w:b/>
          <w:color w:val="000000"/>
        </w:rPr>
      </w:pPr>
      <w:r w:rsidRPr="0031237F">
        <w:rPr>
          <w:b/>
          <w:color w:val="000000"/>
          <w:lang w:val="kk-KZ"/>
        </w:rPr>
        <w:t>Иерархия цифровых систем передачи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В цифровых системах передачи необходимо выполнение всех операций по обработке цифровых сигналов синхронно и последовательно. Если бы эти операции происходили локально и синхронизировались от одного источника, то проблем не было.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В этом случае к стабильности задающего генератора не предъявлялись бы жесткие требования, так как на всех участках происходили бы одинаковые изменения тактовой частоты.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Но, поскольку любую систему цифровой передачи можно рассматривать как состоящую из двух и более полукомплектов приема и передачи, разнесенных на значительные расстояния, то требования к синхронизации становятся основопологающими.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 w:rsidRPr="0031237F">
        <w:rPr>
          <w:color w:val="000000"/>
          <w:shd w:val="clear" w:color="auto" w:fill="FFFFFF"/>
        </w:rPr>
        <w:t xml:space="preserve">Высокостабильные, </w:t>
      </w:r>
      <w:proofErr w:type="gramStart"/>
      <w:r w:rsidRPr="0031237F">
        <w:rPr>
          <w:color w:val="000000"/>
          <w:shd w:val="clear" w:color="auto" w:fill="FFFFFF"/>
        </w:rPr>
        <w:t>и следовательно</w:t>
      </w:r>
      <w:proofErr w:type="gramEnd"/>
      <w:r w:rsidRPr="0031237F">
        <w:rPr>
          <w:color w:val="000000"/>
          <w:shd w:val="clear" w:color="auto" w:fill="FFFFFF"/>
        </w:rPr>
        <w:t xml:space="preserve"> дорогие, тактовые генераторы могут оказаться бесполезными из-за линейных помех, вызывающих фазовые дрожания тактовых сигналов. </w:t>
      </w:r>
      <w:proofErr w:type="gramStart"/>
      <w:r w:rsidRPr="0031237F">
        <w:rPr>
          <w:color w:val="000000"/>
          <w:shd w:val="clear" w:color="auto" w:fill="FFFFFF"/>
        </w:rPr>
        <w:t>По сути дела</w:t>
      </w:r>
      <w:proofErr w:type="gramEnd"/>
      <w:r w:rsidRPr="0031237F">
        <w:rPr>
          <w:color w:val="000000"/>
          <w:shd w:val="clear" w:color="auto" w:fill="FFFFFF"/>
        </w:rPr>
        <w:t xml:space="preserve"> фазовые дрожания вызывают изменение числа битов, переданных по линии.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 w:rsidRPr="0031237F">
        <w:rPr>
          <w:color w:val="000000"/>
          <w:shd w:val="clear" w:color="auto" w:fill="FFFFFF"/>
        </w:rPr>
        <w:t>Для борьбы с этим явлением используются устройства эластичной памяти, в которых запись осуществляется по тактовой частоте принимаемого сигнала, а считывание - по тактовой частоте местного генератора. Такая память позволяет компенсировать пусть даже большие, но кратковременные отклонения тактовой частоты.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 w:rsidRPr="0031237F">
        <w:rPr>
          <w:color w:val="000000"/>
          <w:shd w:val="clear" w:color="auto" w:fill="FFFFFF"/>
        </w:rPr>
        <w:t>Однако эластичная память не справляется при продолжительных, пусть даже небольших отклонения. Она может переполняться или опустошаться в зависимости от соотношения тактовых частот. При этом возникает так называемое проскальзывание.</w:t>
      </w:r>
      <w:r w:rsidRPr="0031237F">
        <w:rPr>
          <w:rStyle w:val="apple-converted-space"/>
          <w:color w:val="000000"/>
          <w:shd w:val="clear" w:color="auto" w:fill="FFFFFF"/>
        </w:rPr>
        <w:t> 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 w:rsidRPr="0031237F">
        <w:rPr>
          <w:color w:val="000000"/>
          <w:shd w:val="clear" w:color="auto" w:fill="FFFFFF"/>
        </w:rPr>
        <w:t xml:space="preserve">Рекомендацией ITU-T G.822 нормируется частота </w:t>
      </w:r>
      <w:proofErr w:type="spellStart"/>
      <w:r w:rsidRPr="0031237F">
        <w:rPr>
          <w:color w:val="000000"/>
          <w:shd w:val="clear" w:color="auto" w:fill="FFFFFF"/>
        </w:rPr>
        <w:t>проскальзований</w:t>
      </w:r>
      <w:proofErr w:type="spellEnd"/>
      <w:r w:rsidRPr="0031237F">
        <w:rPr>
          <w:color w:val="000000"/>
          <w:shd w:val="clear" w:color="auto" w:fill="FFFFFF"/>
        </w:rPr>
        <w:t xml:space="preserve"> в зависимости от качества обслуживания и устанавливается распределение продолжительности работы с пониженным и неудовлетворительным качеством. Таким образом рекомендацией ITU-T допускаются на синхронных цифровых сетях некоторые нарушения синхронизации.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shd w:val="clear" w:color="auto" w:fill="FFFFFF"/>
          <w:lang w:val="kk-KZ"/>
        </w:rPr>
      </w:pPr>
      <w:r w:rsidRPr="0031237F">
        <w:rPr>
          <w:color w:val="000000"/>
          <w:shd w:val="clear" w:color="auto" w:fill="FFFFFF"/>
        </w:rPr>
        <w:t>Рекомендация ITU-T G.803 описывает следующие режимы цифровых сетей по синхронизации:</w:t>
      </w:r>
    </w:p>
    <w:p w:rsidR="007F404D" w:rsidRPr="0031237F" w:rsidRDefault="007F404D" w:rsidP="007F404D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 w:rsidRPr="0031237F">
        <w:rPr>
          <w:bCs/>
          <w:color w:val="000000"/>
          <w:lang w:val="kk-KZ"/>
        </w:rPr>
        <w:t xml:space="preserve"> - </w:t>
      </w:r>
      <w:r w:rsidRPr="00E77563">
        <w:rPr>
          <w:bCs/>
          <w:color w:val="000000"/>
        </w:rPr>
        <w:t>синхронный режим</w:t>
      </w:r>
      <w:r w:rsidRPr="00E77563">
        <w:rPr>
          <w:color w:val="000000"/>
        </w:rPr>
        <w:t>, при котором практически отсутствуют</w:t>
      </w:r>
      <w:r>
        <w:rPr>
          <w:color w:val="000000"/>
        </w:rPr>
        <w:t xml:space="preserve"> </w:t>
      </w:r>
      <w:proofErr w:type="spellStart"/>
      <w:r w:rsidRPr="00E77563">
        <w:rPr>
          <w:color w:val="000000"/>
        </w:rPr>
        <w:t>проскальзования</w:t>
      </w:r>
      <w:proofErr w:type="spellEnd"/>
      <w:r w:rsidRPr="00E77563">
        <w:rPr>
          <w:color w:val="000000"/>
        </w:rPr>
        <w:t>, име</w:t>
      </w:r>
      <w:r>
        <w:rPr>
          <w:color w:val="000000"/>
        </w:rPr>
        <w:t>ет</w:t>
      </w:r>
      <w:r w:rsidRPr="00E77563">
        <w:rPr>
          <w:color w:val="000000"/>
        </w:rPr>
        <w:t xml:space="preserve"> случайный характер. Этот режим работы сетей с принудительной синхронизацией, когда все элементы сети получают тактовую частоту</w:t>
      </w:r>
      <w:r w:rsidRPr="0031237F">
        <w:rPr>
          <w:color w:val="000000"/>
        </w:rPr>
        <w:t xml:space="preserve"> от одного эталонного генератора.</w:t>
      </w:r>
    </w:p>
    <w:p w:rsidR="007F404D" w:rsidRPr="00E77563" w:rsidRDefault="007F404D" w:rsidP="007F404D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 w:rsidRPr="00E77563">
        <w:rPr>
          <w:bCs/>
          <w:color w:val="000000"/>
          <w:lang w:val="kk-KZ"/>
        </w:rPr>
        <w:t xml:space="preserve"> - </w:t>
      </w:r>
      <w:proofErr w:type="spellStart"/>
      <w:r w:rsidRPr="00E77563">
        <w:rPr>
          <w:bCs/>
          <w:color w:val="000000"/>
        </w:rPr>
        <w:t>псевдосинхронный</w:t>
      </w:r>
      <w:proofErr w:type="spellEnd"/>
      <w:r w:rsidRPr="00E77563">
        <w:rPr>
          <w:bCs/>
          <w:color w:val="000000"/>
        </w:rPr>
        <w:t xml:space="preserve"> режим</w:t>
      </w:r>
      <w:r w:rsidRPr="00E77563">
        <w:rPr>
          <w:color w:val="000000"/>
        </w:rPr>
        <w:t xml:space="preserve"> возникает, когда имеется несколько высокостабильных генератора (их нестабильность не более 10-11 согласно G.811). Допускается одно </w:t>
      </w:r>
      <w:proofErr w:type="spellStart"/>
      <w:r w:rsidRPr="00E77563">
        <w:rPr>
          <w:color w:val="000000"/>
        </w:rPr>
        <w:t>проскальзование</w:t>
      </w:r>
      <w:proofErr w:type="spellEnd"/>
      <w:r w:rsidRPr="00E77563">
        <w:rPr>
          <w:color w:val="000000"/>
        </w:rPr>
        <w:t xml:space="preserve"> за 70 суток. Этот режим имеет место на стыках сетей с синхронными режимами разных операторов.</w:t>
      </w:r>
    </w:p>
    <w:p w:rsidR="007F404D" w:rsidRPr="00E77563" w:rsidRDefault="007F404D" w:rsidP="007F404D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 w:rsidRPr="00E77563">
        <w:rPr>
          <w:bCs/>
          <w:color w:val="000000"/>
          <w:lang w:val="kk-KZ"/>
        </w:rPr>
        <w:t xml:space="preserve">- </w:t>
      </w:r>
      <w:proofErr w:type="spellStart"/>
      <w:r w:rsidRPr="00E77563">
        <w:rPr>
          <w:bCs/>
          <w:color w:val="000000"/>
        </w:rPr>
        <w:t>плезиохронный</w:t>
      </w:r>
      <w:proofErr w:type="spellEnd"/>
      <w:r w:rsidRPr="00E77563">
        <w:rPr>
          <w:bCs/>
          <w:color w:val="000000"/>
        </w:rPr>
        <w:t xml:space="preserve"> режим</w:t>
      </w:r>
      <w:r w:rsidRPr="00E77563">
        <w:rPr>
          <w:color w:val="000000"/>
        </w:rPr>
        <w:t xml:space="preserve"> появляется на цифровой сети при потери элементом сети внешней принудительной синхронизации. На сети с синхронным режимом такое может произойти при отказе основных и резервных путей прохождения синхросигнала или при выходе из строя эталонного генератора. Для обеспечения в этом случае приемлемого уровня </w:t>
      </w:r>
      <w:proofErr w:type="spellStart"/>
      <w:r w:rsidRPr="00E77563">
        <w:rPr>
          <w:color w:val="000000"/>
        </w:rPr>
        <w:t>проскальзования</w:t>
      </w:r>
      <w:proofErr w:type="spellEnd"/>
      <w:r w:rsidRPr="00E77563">
        <w:rPr>
          <w:color w:val="000000"/>
        </w:rPr>
        <w:t xml:space="preserve">, 1 </w:t>
      </w:r>
      <w:proofErr w:type="spellStart"/>
      <w:r w:rsidRPr="00E77563">
        <w:rPr>
          <w:color w:val="000000"/>
        </w:rPr>
        <w:t>проскальзование</w:t>
      </w:r>
      <w:proofErr w:type="spellEnd"/>
      <w:r w:rsidRPr="00E77563">
        <w:rPr>
          <w:color w:val="000000"/>
        </w:rPr>
        <w:t xml:space="preserve"> за 17 часов, генераторы элементов сети должны обладать нестабильностью не более 10-9.</w:t>
      </w:r>
    </w:p>
    <w:p w:rsidR="007F404D" w:rsidRPr="00E77563" w:rsidRDefault="007F404D" w:rsidP="007F404D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>
        <w:rPr>
          <w:bCs/>
          <w:color w:val="000000"/>
        </w:rPr>
        <w:t xml:space="preserve">- </w:t>
      </w:r>
      <w:r w:rsidRPr="00E77563">
        <w:rPr>
          <w:bCs/>
          <w:color w:val="000000"/>
        </w:rPr>
        <w:t>асинхронный режим</w:t>
      </w:r>
      <w:r w:rsidRPr="00E77563">
        <w:rPr>
          <w:color w:val="000000"/>
          <w:lang w:val="kk-KZ"/>
        </w:rPr>
        <w:t xml:space="preserve"> </w:t>
      </w:r>
      <w:r w:rsidRPr="00E77563">
        <w:rPr>
          <w:color w:val="000000"/>
        </w:rPr>
        <w:t xml:space="preserve">характеризуется одним </w:t>
      </w:r>
      <w:proofErr w:type="spellStart"/>
      <w:r w:rsidRPr="00E77563">
        <w:rPr>
          <w:color w:val="000000"/>
        </w:rPr>
        <w:t>проскальзованием</w:t>
      </w:r>
      <w:proofErr w:type="spellEnd"/>
      <w:r w:rsidRPr="00E77563">
        <w:rPr>
          <w:color w:val="000000"/>
        </w:rPr>
        <w:t xml:space="preserve"> за 7 секунд позволяет иметь генераторы с нестабильностью не хуже 10-5. Подобный режим практически не применяется на цифровых сетях.</w:t>
      </w:r>
    </w:p>
    <w:p w:rsidR="007F404D" w:rsidRPr="00E77563" w:rsidRDefault="007F404D" w:rsidP="007F404D">
      <w:pPr>
        <w:shd w:val="clear" w:color="auto" w:fill="FFFFFF"/>
        <w:spacing w:line="338" w:lineRule="atLeast"/>
        <w:ind w:firstLine="720"/>
        <w:jc w:val="both"/>
        <w:rPr>
          <w:color w:val="000000"/>
          <w:lang w:val="kk-KZ"/>
        </w:rPr>
      </w:pPr>
      <w:r w:rsidRPr="00E77563">
        <w:rPr>
          <w:color w:val="000000"/>
          <w:lang w:val="kk-KZ"/>
        </w:rPr>
        <w:t xml:space="preserve">Цифровые системы передачи информации стандартизируются по определенной иерархической структуре, основным принципом которой является кратность скоростей обработки и передачи сигналов на различных ступенях иерархии. Таким образом, число каналов тональной частоты или основных цифровых каналов (ОЦК) (64 кбит/с), которых можно организовать с использованием различных систем кратно, что упрощает разделение, </w:t>
      </w:r>
      <w:r w:rsidRPr="00E77563">
        <w:rPr>
          <w:color w:val="000000"/>
          <w:lang w:val="kk-KZ"/>
        </w:rPr>
        <w:lastRenderedPageBreak/>
        <w:t>объединение, транзит передаваемых сигналов, способствует рациональному построению первичной сети связи. Различают два типа цифровых иерархий – плезиохронную ПЦИ (Plesiochronous Digital Hierarchy – PDH) и синхронную СЦИ (Synch</w:t>
      </w:r>
      <w:r w:rsidRPr="008B6BBE">
        <w:rPr>
          <w:color w:val="000000"/>
          <w:lang w:val="kk-KZ"/>
        </w:rPr>
        <w:t xml:space="preserve">ronous Digital Hierarchy – SDH). 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center"/>
        <w:rPr>
          <w:b/>
          <w:color w:val="000000"/>
          <w:lang w:val="kk-KZ"/>
        </w:rPr>
      </w:pPr>
      <w:bookmarkStart w:id="0" w:name="_GoBack"/>
      <w:bookmarkEnd w:id="0"/>
      <w:r w:rsidRPr="0031237F">
        <w:rPr>
          <w:b/>
          <w:color w:val="000000"/>
          <w:lang w:val="kk-KZ"/>
        </w:rPr>
        <w:t>Системы передачи плезиохронной цифровой иерархии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31237F">
        <w:rPr>
          <w:b/>
          <w:color w:val="000000"/>
          <w:lang w:val="kk-KZ"/>
        </w:rPr>
        <w:t>Плезиохронная цифровая иерархия</w:t>
      </w:r>
      <w:r w:rsidRPr="0031237F">
        <w:rPr>
          <w:color w:val="000000"/>
          <w:lang w:val="kk-KZ"/>
        </w:rPr>
        <w:t xml:space="preserve"> Исторически первой появилась ПЦИ, которая была единственной с начала 60-х годов до конца 80-х и, поэтому свое теперешнее название она получила только с возникновением и началом использования систем передачи основных на принципах синхронной иерархии </w:t>
      </w:r>
      <w:r w:rsidRPr="0031237F">
        <w:rPr>
          <w:color w:val="000000"/>
        </w:rPr>
        <w:t>[1,2,3]</w:t>
      </w:r>
      <w:r w:rsidRPr="0031237F">
        <w:rPr>
          <w:color w:val="000000"/>
          <w:lang w:val="kk-KZ"/>
        </w:rPr>
        <w:t>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Первой системой передачи информации с ИКМ, выпущенной предприятием фирмы Белл в 1961 г., была 24-канальная система со скоростью передачи цифрового сигнала в линии 1544 кбит/с. Она послужила основной для североамериканского стандарта PDH, который получил признание Международного Союза Телекоммуникаций (ITU) и используется по настоящее время. Однако для Европейского региона ITU принял другой стандарт иерархии (ЕС), который основывается на первичной ЦСП типа ИКМ-30 со скоростью передачи цифрового сигнала 2048 кбит/с (рис.</w:t>
      </w:r>
      <w:r>
        <w:rPr>
          <w:color w:val="000000"/>
          <w:lang w:val="kk-KZ"/>
        </w:rPr>
        <w:t>3</w:t>
      </w:r>
      <w:r w:rsidRPr="0031237F">
        <w:rPr>
          <w:color w:val="000000"/>
          <w:lang w:val="kk-KZ"/>
        </w:rPr>
        <w:t>.1)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В нашей стране в соответствии с этим стандартом исполузуется аппаратура ИКМ-30, ИКМ-120, ИКМ-480, ИКМ-1920.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31237F">
        <w:rPr>
          <w:color w:val="000000"/>
          <w:lang w:val="kk-KZ"/>
        </w:rPr>
        <w:t xml:space="preserve">Первичная ЦСП ИКМ-30 испольузуется на телефонных сетях, в основном с целью организации соединительных линий между АТС, а также как каналообразующая аппаратура для аналого-цифрового преобразования в системах передачи более высоких ступеней иерархии. Основные ее параметры, установленные в соответствии с Рекомендациями </w:t>
      </w:r>
      <w:r w:rsidRPr="0031237F">
        <w:rPr>
          <w:color w:val="000000"/>
          <w:lang w:val="en-US"/>
        </w:rPr>
        <w:t>ITU</w:t>
      </w:r>
      <w:r w:rsidRPr="0031237F">
        <w:rPr>
          <w:color w:val="000000"/>
        </w:rPr>
        <w:t xml:space="preserve"> таковы:</w:t>
      </w:r>
    </w:p>
    <w:p w:rsidR="007F404D" w:rsidRPr="0031237F" w:rsidRDefault="007F404D" w:rsidP="007F404D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количество телефонных каналов 30 при 32 канальных интервалах,</w:t>
      </w:r>
    </w:p>
    <w:p w:rsidR="007F404D" w:rsidRPr="0031237F" w:rsidRDefault="007F404D" w:rsidP="007F404D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частота дискретизации 8 кГц,</w:t>
      </w:r>
    </w:p>
    <w:p w:rsidR="007F404D" w:rsidRPr="0031237F" w:rsidRDefault="007F404D" w:rsidP="007F404D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число разрядов кодека 8,</w:t>
      </w:r>
    </w:p>
    <w:p w:rsidR="007F404D" w:rsidRPr="0031237F" w:rsidRDefault="007F404D" w:rsidP="007F404D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скорость передачи 32х8х8-2048 кбит/с.</w:t>
      </w:r>
    </w:p>
    <w:p w:rsidR="007F404D" w:rsidRPr="008B6BBE" w:rsidRDefault="007F404D" w:rsidP="007F404D">
      <w:pPr>
        <w:autoSpaceDE w:val="0"/>
        <w:autoSpaceDN w:val="0"/>
        <w:adjustRightInd w:val="0"/>
        <w:ind w:left="709"/>
        <w:jc w:val="both"/>
        <w:rPr>
          <w:color w:val="000000"/>
        </w:rPr>
      </w:pPr>
      <w:r w:rsidRPr="0031237F">
        <w:rPr>
          <w:color w:val="000000"/>
          <w:lang w:val="kk-KZ"/>
        </w:rPr>
        <w:t>Два дополнительных канальных интервала предусмотрены для передачи синхросигналов и сигналов управления и взаимодействия между АТС.</w:t>
      </w:r>
    </w:p>
    <w:p w:rsidR="007F404D" w:rsidRPr="008B6BBE" w:rsidRDefault="007F404D" w:rsidP="007F404D">
      <w:pPr>
        <w:autoSpaceDE w:val="0"/>
        <w:autoSpaceDN w:val="0"/>
        <w:adjustRightInd w:val="0"/>
        <w:ind w:left="709"/>
        <w:jc w:val="both"/>
        <w:rPr>
          <w:color w:val="000000"/>
          <w:sz w:val="16"/>
          <w:szCs w:val="16"/>
        </w:rPr>
      </w:pPr>
    </w:p>
    <w:p w:rsidR="007F404D" w:rsidRPr="002C4DD4" w:rsidRDefault="007F404D" w:rsidP="007F404D">
      <w:pPr>
        <w:autoSpaceDE w:val="0"/>
        <w:autoSpaceDN w:val="0"/>
        <w:adjustRightInd w:val="0"/>
        <w:ind w:left="709"/>
        <w:jc w:val="center"/>
        <w:rPr>
          <w:color w:val="000000"/>
          <w:lang w:val="en-US"/>
        </w:rPr>
      </w:pPr>
      <w:r w:rsidRPr="00841BAE">
        <w:rPr>
          <w:noProof/>
        </w:rPr>
        <w:drawing>
          <wp:inline distT="0" distB="0" distL="0" distR="0">
            <wp:extent cx="4600575" cy="3162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04D" w:rsidRPr="0031237F" w:rsidRDefault="007F404D" w:rsidP="007F404D">
      <w:pPr>
        <w:autoSpaceDE w:val="0"/>
        <w:autoSpaceDN w:val="0"/>
        <w:adjustRightInd w:val="0"/>
        <w:ind w:left="709"/>
        <w:jc w:val="both"/>
        <w:rPr>
          <w:color w:val="000000"/>
          <w:lang w:val="kk-KZ"/>
        </w:rPr>
      </w:pPr>
    </w:p>
    <w:p w:rsidR="007F404D" w:rsidRPr="0031237F" w:rsidRDefault="007F404D" w:rsidP="007F404D">
      <w:pPr>
        <w:autoSpaceDE w:val="0"/>
        <w:autoSpaceDN w:val="0"/>
        <w:adjustRightInd w:val="0"/>
        <w:ind w:left="709"/>
        <w:jc w:val="both"/>
        <w:rPr>
          <w:color w:val="000000"/>
          <w:lang w:val="kk-KZ"/>
        </w:rPr>
      </w:pPr>
    </w:p>
    <w:p w:rsidR="007F404D" w:rsidRPr="008B6BBE" w:rsidRDefault="007F404D" w:rsidP="007F404D">
      <w:pPr>
        <w:autoSpaceDE w:val="0"/>
        <w:autoSpaceDN w:val="0"/>
        <w:adjustRightInd w:val="0"/>
        <w:ind w:left="709"/>
        <w:jc w:val="center"/>
        <w:rPr>
          <w:color w:val="000000"/>
        </w:rPr>
      </w:pPr>
      <w:r w:rsidRPr="0031237F">
        <w:rPr>
          <w:color w:val="000000"/>
          <w:lang w:val="kk-KZ"/>
        </w:rPr>
        <w:t xml:space="preserve">Рис. </w:t>
      </w:r>
      <w:r w:rsidRPr="008B6BBE">
        <w:rPr>
          <w:color w:val="000000"/>
        </w:rPr>
        <w:t>3</w:t>
      </w:r>
      <w:r w:rsidRPr="0031237F">
        <w:rPr>
          <w:color w:val="000000"/>
          <w:lang w:val="kk-KZ"/>
        </w:rPr>
        <w:t>.1</w:t>
      </w:r>
      <w:r>
        <w:rPr>
          <w:color w:val="000000"/>
          <w:lang w:val="kk-KZ"/>
        </w:rPr>
        <w:t xml:space="preserve"> Иерархия ПЦИ (PDH)</w:t>
      </w:r>
    </w:p>
    <w:p w:rsidR="007F404D" w:rsidRPr="002C4DD4" w:rsidRDefault="007F404D" w:rsidP="007F404D">
      <w:pPr>
        <w:autoSpaceDE w:val="0"/>
        <w:autoSpaceDN w:val="0"/>
        <w:adjustRightInd w:val="0"/>
        <w:ind w:firstLine="720"/>
        <w:jc w:val="center"/>
        <w:rPr>
          <w:color w:val="000000"/>
          <w:sz w:val="16"/>
          <w:szCs w:val="16"/>
          <w:lang w:val="kk-KZ"/>
        </w:rPr>
      </w:pP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lastRenderedPageBreak/>
        <w:t>Современная терминология, все чаще вместо ИКМ – 30 применяет понятие – первичный мультиплексор, т.к. назначением первого этапа иерархического преобразования сигналов является мультиплексирование различных сигналов, поступающих на вход мультиплексора в первичный цифровой канал (ПЦК) Е1-2048 кбит/с на передаче, демультиплексирование и обратное преобразование на приеме. При этом объединяемые сигналы могут быть как аналоговые, так и цифровые, а в качестве аналого-цифрового преобразования может использоваться не только ИКМ.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Оборудование второй ступени PDH предназначено для объединения четырех первичных цифровых каналов (ПЦК) с пропускной способностью 2048 кбит/с в один групповой вторичный цифровой канал (ВЦК) с пропускной способностью 8448 кбит/с. Основным оборудованием ИКМ – 120 является оборудование вторичного временного группообразования (ВВГ), в котором на последующих ступенях PDH, используется посимвольный метод объединения цифровых сигналов.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Третичные ЦСП рассчитаны на объединение сигналов четырех вторичных систем и, в случае использования стандартного ИКМ-преобразования, на первой ступени иерархии могут обеспечить передачу до 480 телефонных каналов. Пропускная способность третичного цифрового канала (ТЦК) 34368 кбит/с.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Четвертичные ЦСП, осуществляющие объединение сигналов четырех третичных систем, позволяют организовать 1920 телефонных каналов. В четвертичном цифровом канале с пропускной способностью 139 264 кбит/с можно обеспечить высококачественную передачу телевизионных сигналов и сигналов других широкополосных систем.</w:t>
      </w:r>
    </w:p>
    <w:p w:rsidR="007F404D" w:rsidRPr="002C4DD4" w:rsidRDefault="007F404D" w:rsidP="007F404D">
      <w:pPr>
        <w:autoSpaceDE w:val="0"/>
        <w:autoSpaceDN w:val="0"/>
        <w:adjustRightInd w:val="0"/>
        <w:ind w:firstLine="720"/>
        <w:jc w:val="both"/>
        <w:rPr>
          <w:color w:val="000000"/>
          <w:lang w:val="kk-KZ"/>
        </w:rPr>
      </w:pPr>
      <w:r w:rsidRPr="0031237F">
        <w:rPr>
          <w:color w:val="000000"/>
          <w:lang w:val="kk-KZ"/>
        </w:rPr>
        <w:t>Представляет интерес сравнение действующих в настоящее время уровней цифровой иерархии в Европе, Северной Америки и Японии (табл.2.1)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right"/>
        <w:rPr>
          <w:color w:val="000000"/>
          <w:lang w:val="kk-KZ"/>
        </w:rPr>
      </w:pPr>
      <w:r w:rsidRPr="0031237F">
        <w:rPr>
          <w:color w:val="000000"/>
          <w:lang w:val="kk-KZ"/>
        </w:rPr>
        <w:t xml:space="preserve">Таблица </w:t>
      </w:r>
      <w:r>
        <w:rPr>
          <w:color w:val="000000"/>
          <w:lang w:val="en-US"/>
        </w:rPr>
        <w:t>3</w:t>
      </w:r>
      <w:r w:rsidRPr="0031237F">
        <w:rPr>
          <w:color w:val="000000"/>
          <w:lang w:val="kk-KZ"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7"/>
        <w:gridCol w:w="1358"/>
        <w:gridCol w:w="1158"/>
        <w:gridCol w:w="1358"/>
        <w:gridCol w:w="1158"/>
        <w:gridCol w:w="1395"/>
        <w:gridCol w:w="1151"/>
      </w:tblGrid>
      <w:tr w:rsidR="007F404D" w:rsidRPr="009A13E1" w:rsidTr="00175FDB">
        <w:trPr>
          <w:trHeight w:val="366"/>
        </w:trPr>
        <w:tc>
          <w:tcPr>
            <w:tcW w:w="1821" w:type="dxa"/>
            <w:vMerge w:val="restart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Уровень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иерархии</w:t>
            </w:r>
          </w:p>
        </w:tc>
        <w:tc>
          <w:tcPr>
            <w:tcW w:w="2669" w:type="dxa"/>
            <w:gridSpan w:val="2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Европа</w:t>
            </w:r>
          </w:p>
        </w:tc>
        <w:tc>
          <w:tcPr>
            <w:tcW w:w="2670" w:type="dxa"/>
            <w:gridSpan w:val="2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Северная Америка</w:t>
            </w:r>
          </w:p>
        </w:tc>
        <w:tc>
          <w:tcPr>
            <w:tcW w:w="2694" w:type="dxa"/>
            <w:gridSpan w:val="2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Япония</w:t>
            </w:r>
          </w:p>
        </w:tc>
      </w:tr>
      <w:tr w:rsidR="007F404D" w:rsidRPr="009A13E1" w:rsidTr="00175FDB">
        <w:trPr>
          <w:trHeight w:val="275"/>
        </w:trPr>
        <w:tc>
          <w:tcPr>
            <w:tcW w:w="1821" w:type="dxa"/>
            <w:vMerge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both"/>
              <w:rPr>
                <w:bCs/>
                <w:lang w:val="kk-KZ"/>
              </w:rPr>
            </w:pPr>
          </w:p>
        </w:tc>
        <w:tc>
          <w:tcPr>
            <w:tcW w:w="1400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Скорость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передачи,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Мбит/с</w:t>
            </w:r>
          </w:p>
        </w:tc>
        <w:tc>
          <w:tcPr>
            <w:tcW w:w="1269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Крат -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ность</w:t>
            </w:r>
          </w:p>
        </w:tc>
        <w:tc>
          <w:tcPr>
            <w:tcW w:w="1401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Скорость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передачи,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Мбит/с</w:t>
            </w:r>
          </w:p>
        </w:tc>
        <w:tc>
          <w:tcPr>
            <w:tcW w:w="1269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Крат -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ность</w:t>
            </w:r>
          </w:p>
        </w:tc>
        <w:tc>
          <w:tcPr>
            <w:tcW w:w="1435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Скорость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Передачи,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Мбит/с</w:t>
            </w:r>
          </w:p>
        </w:tc>
        <w:tc>
          <w:tcPr>
            <w:tcW w:w="1259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Крат-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ность</w:t>
            </w:r>
          </w:p>
        </w:tc>
      </w:tr>
      <w:tr w:rsidR="007F404D" w:rsidRPr="009A13E1" w:rsidTr="00175FDB">
        <w:trPr>
          <w:trHeight w:val="1289"/>
        </w:trPr>
        <w:tc>
          <w:tcPr>
            <w:tcW w:w="1821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Первичный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Вторичный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Третичный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Четверичный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Пятеричный</w:t>
            </w:r>
          </w:p>
        </w:tc>
        <w:tc>
          <w:tcPr>
            <w:tcW w:w="1400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2048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8448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34368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139264</w:t>
            </w:r>
          </w:p>
        </w:tc>
        <w:tc>
          <w:tcPr>
            <w:tcW w:w="1269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</w:tc>
        <w:tc>
          <w:tcPr>
            <w:tcW w:w="1401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1544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6312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44736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274176</w:t>
            </w:r>
            <w:r w:rsidRPr="009A13E1">
              <w:rPr>
                <w:b/>
                <w:bCs/>
                <w:lang w:val="kk-KZ"/>
              </w:rPr>
              <w:t>-</w:t>
            </w:r>
          </w:p>
        </w:tc>
        <w:tc>
          <w:tcPr>
            <w:tcW w:w="1269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7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6</w:t>
            </w:r>
          </w:p>
        </w:tc>
        <w:tc>
          <w:tcPr>
            <w:tcW w:w="1435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1544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6313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32064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97728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397200</w:t>
            </w:r>
          </w:p>
        </w:tc>
        <w:tc>
          <w:tcPr>
            <w:tcW w:w="1259" w:type="dxa"/>
          </w:tcPr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5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3</w:t>
            </w:r>
          </w:p>
          <w:p w:rsidR="007F404D" w:rsidRPr="009A13E1" w:rsidRDefault="007F404D" w:rsidP="00175FDB">
            <w:pPr>
              <w:autoSpaceDE w:val="0"/>
              <w:autoSpaceDN w:val="0"/>
              <w:adjustRightInd w:val="0"/>
              <w:jc w:val="center"/>
              <w:rPr>
                <w:bCs/>
                <w:lang w:val="kk-KZ"/>
              </w:rPr>
            </w:pPr>
            <w:r w:rsidRPr="009A13E1">
              <w:rPr>
                <w:bCs/>
                <w:lang w:val="kk-KZ"/>
              </w:rPr>
              <w:t>Х 4</w:t>
            </w:r>
          </w:p>
        </w:tc>
      </w:tr>
    </w:tbl>
    <w:p w:rsidR="007F404D" w:rsidRPr="002C4DD4" w:rsidRDefault="007F404D" w:rsidP="007F404D">
      <w:pPr>
        <w:autoSpaceDE w:val="0"/>
        <w:autoSpaceDN w:val="0"/>
        <w:adjustRightInd w:val="0"/>
        <w:rPr>
          <w:b/>
          <w:bCs/>
          <w:sz w:val="16"/>
          <w:szCs w:val="16"/>
          <w:lang w:val="en-US"/>
        </w:rPr>
      </w:pP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Дальнейшее объединение цифровых потоков четырех систем передачи можно получить более мощные пятричные, шестеричные цифровые системы. Пятеричные системы передачи не нашли широкого применения, так как не выдержали конкуренции с новыми принципами организации ЦСП – синхронной цифровой иерархии.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Традиционно оборудование цифровых систем передачи состоит из оборудования формирования (приема) цифрового сигнала и оборудования линейного тракта (рис.</w:t>
      </w:r>
      <w:r>
        <w:rPr>
          <w:bCs/>
          <w:lang w:val="kk-KZ"/>
        </w:rPr>
        <w:t>3</w:t>
      </w:r>
      <w:r w:rsidRPr="0031237F">
        <w:rPr>
          <w:bCs/>
          <w:lang w:val="kk-KZ"/>
        </w:rPr>
        <w:t>.2)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В состав оборудования формирования (приема) цифрового сигнала входит: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- аппаратура цифрового каналообразования АЦК, которое осуществляет преобразование аналоговых сигналов основного цифрового канала ОЦК (64 кбит/с) из аналоговых сигналов и формирование группового первичного потока;</w:t>
      </w:r>
    </w:p>
    <w:p w:rsidR="007F404D" w:rsidRPr="002C4DD4" w:rsidRDefault="007F404D" w:rsidP="007F404D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31237F">
        <w:rPr>
          <w:bCs/>
          <w:lang w:val="kk-KZ"/>
        </w:rPr>
        <w:t>- оборудование временного группаобра</w:t>
      </w:r>
      <w:r>
        <w:rPr>
          <w:bCs/>
          <w:lang w:val="kk-KZ"/>
        </w:rPr>
        <w:t xml:space="preserve">зования (вторичное, третичное и </w:t>
      </w:r>
      <w:r w:rsidRPr="0031237F">
        <w:rPr>
          <w:bCs/>
          <w:lang w:val="kk-KZ"/>
        </w:rPr>
        <w:t>т.д.), предназначенное для объединения нескольких цифровых потоков.</w:t>
      </w:r>
    </w:p>
    <w:p w:rsidR="007F404D" w:rsidRPr="002C4DD4" w:rsidRDefault="007F404D" w:rsidP="007F404D">
      <w:pPr>
        <w:autoSpaceDE w:val="0"/>
        <w:autoSpaceDN w:val="0"/>
        <w:adjustRightInd w:val="0"/>
        <w:ind w:firstLine="709"/>
        <w:jc w:val="both"/>
        <w:rPr>
          <w:bCs/>
        </w:rPr>
      </w:pPr>
    </w:p>
    <w:p w:rsidR="007F404D" w:rsidRDefault="007F404D" w:rsidP="007F404D">
      <w:pPr>
        <w:autoSpaceDE w:val="0"/>
        <w:autoSpaceDN w:val="0"/>
        <w:adjustRightInd w:val="0"/>
        <w:ind w:firstLine="709"/>
        <w:jc w:val="center"/>
        <w:rPr>
          <w:noProof/>
          <w:lang w:val="en-US"/>
        </w:rPr>
      </w:pPr>
      <w:r w:rsidRPr="00841BAE">
        <w:rPr>
          <w:noProof/>
        </w:rPr>
        <w:lastRenderedPageBreak/>
        <w:drawing>
          <wp:inline distT="0" distB="0" distL="0" distR="0">
            <wp:extent cx="5276850" cy="2276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04D" w:rsidRPr="002C4DD4" w:rsidRDefault="007F404D" w:rsidP="007F404D">
      <w:pPr>
        <w:autoSpaceDE w:val="0"/>
        <w:autoSpaceDN w:val="0"/>
        <w:adjustRightInd w:val="0"/>
        <w:ind w:firstLine="709"/>
        <w:jc w:val="center"/>
        <w:rPr>
          <w:bCs/>
          <w:lang w:val="en-US"/>
        </w:rPr>
      </w:pPr>
    </w:p>
    <w:p w:rsidR="007F404D" w:rsidRDefault="007F404D" w:rsidP="007F404D">
      <w:pPr>
        <w:autoSpaceDE w:val="0"/>
        <w:autoSpaceDN w:val="0"/>
        <w:adjustRightInd w:val="0"/>
        <w:ind w:firstLine="709"/>
        <w:jc w:val="center"/>
        <w:rPr>
          <w:bCs/>
          <w:lang w:val="kk-KZ"/>
        </w:rPr>
      </w:pPr>
      <w:r w:rsidRPr="0031237F">
        <w:rPr>
          <w:bCs/>
          <w:lang w:val="kk-KZ"/>
        </w:rPr>
        <w:t>Рис.</w:t>
      </w:r>
      <w:r w:rsidRPr="008B6BBE">
        <w:rPr>
          <w:bCs/>
        </w:rPr>
        <w:t>3</w:t>
      </w:r>
      <w:r w:rsidRPr="0031237F">
        <w:rPr>
          <w:bCs/>
          <w:lang w:val="kk-KZ"/>
        </w:rPr>
        <w:t>.2.</w:t>
      </w:r>
      <w:r w:rsidRPr="002C4DD4">
        <w:rPr>
          <w:bCs/>
        </w:rPr>
        <w:t xml:space="preserve"> Оборудование цифровых систем пере</w:t>
      </w:r>
      <w:r>
        <w:rPr>
          <w:bCs/>
          <w:lang w:val="kk-KZ"/>
        </w:rPr>
        <w:t>дачи. АЦК – аппаратура цифрового каналообразования, ОВГ – оборудование временного группообразования, ОЛТ-оборудование линейного тракта, ОРП, НРП – обслуживаемый и необслуживаемый регенерационный пункты.</w:t>
      </w:r>
    </w:p>
    <w:p w:rsidR="007F404D" w:rsidRPr="002C4DD4" w:rsidRDefault="007F404D" w:rsidP="007F404D">
      <w:pPr>
        <w:autoSpaceDE w:val="0"/>
        <w:autoSpaceDN w:val="0"/>
        <w:adjustRightInd w:val="0"/>
        <w:ind w:firstLine="709"/>
        <w:jc w:val="center"/>
        <w:rPr>
          <w:bCs/>
          <w:sz w:val="16"/>
          <w:szCs w:val="16"/>
          <w:lang w:val="kk-KZ"/>
        </w:rPr>
      </w:pP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В состав линейного оборудования входит оборудование линейного тракта ОЛТ на оконечных станциях, назначение которого – согласование линейного тракта с ОВГ или АЦК, дистанционное питание регенераторов, обеспечение телеконтроля тракта и служебной связи.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Оборудование линейного тракта соединяется между собой линиями связи (кабельными, радиорелейными, волоконно-оптическими и т.д.) с включенными обслуживаемыми (ОРП) и необслуживаемыми (НРП) усилительными пунктами. Аппаратура ЦСП выпускается в стоечном исполнении (САЦК, СВВГ, СТВГ, СОЛТ).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 xml:space="preserve">Для управления данными устройствами (мультиплексорами и кроссеонектами) оборудование линейного тракта оснащается специальной системой сетевого управления NM (Network Management). Кроме того, современные цифровые сети </w:t>
      </w:r>
      <w:r w:rsidRPr="0031237F">
        <w:rPr>
          <w:bCs/>
          <w:lang w:val="en-US"/>
        </w:rPr>
        <w:t>PDH</w:t>
      </w:r>
      <w:r w:rsidRPr="0031237F">
        <w:rPr>
          <w:bCs/>
        </w:rPr>
        <w:t xml:space="preserve"> не могут нормально функционировать без обеспечения равенства скоростей обработки сигналов во всех узлах и оконечных устройствах, поэтому важной составной</w:t>
      </w:r>
      <w:r w:rsidRPr="0031237F">
        <w:rPr>
          <w:bCs/>
          <w:lang w:val="kk-KZ"/>
        </w:rPr>
        <w:t xml:space="preserve"> частью первичной сети стала система единой тактовой синхронизации.</w:t>
      </w:r>
    </w:p>
    <w:p w:rsidR="007F404D" w:rsidRPr="0031237F" w:rsidRDefault="007F404D" w:rsidP="007F404D">
      <w:pPr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31237F">
        <w:rPr>
          <w:bCs/>
          <w:lang w:val="kk-KZ"/>
        </w:rPr>
        <w:t>Таким образом, комплекс оборудования первичной сети связи ПЦИ – это совокупность: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- первичных мультиплексоров, для АЦ преобразования и объединения низкоскоростных цифровых сигналов в первичный цифровой сигнал 2048 кбит/с;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- гибких мультиплексоров, осуществляющих временное группообразование вторичных, третичных и четверичных трактов, а также в случае необходимости, их выделение-ввод на промежуточных или узловых станциях;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- оборудования линейного тракта, кроссконнектов;</w:t>
      </w:r>
    </w:p>
    <w:p w:rsidR="007F404D" w:rsidRPr="0031237F" w:rsidRDefault="007F404D" w:rsidP="007F404D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- системы управления и системы сетевой тактовой синхронизации.</w:t>
      </w:r>
    </w:p>
    <w:p w:rsidR="00B420CC" w:rsidRDefault="007F404D" w:rsidP="007F404D">
      <w:r w:rsidRPr="0031237F">
        <w:rPr>
          <w:bCs/>
          <w:lang w:val="kk-KZ"/>
        </w:rPr>
        <w:t>В качестве аппаратуры АЦК в настоящее время используют аппаратуру ИКМ-30 и в аппаратуре «Сопка» используются стойки аналого-цифрового каналообразования (САЦК-1). Для вторичного группообразования может использоваться аппаратура ИКМ-120, или</w:t>
      </w:r>
    </w:p>
    <w:sectPr w:rsidR="00B42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9C08D8"/>
    <w:multiLevelType w:val="hybridMultilevel"/>
    <w:tmpl w:val="5EB0D8D8"/>
    <w:lvl w:ilvl="0" w:tplc="84C60446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B5B"/>
    <w:rsid w:val="003E6B5B"/>
    <w:rsid w:val="00527B23"/>
    <w:rsid w:val="006A6DB8"/>
    <w:rsid w:val="007F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9496A"/>
  <w15:chartTrackingRefBased/>
  <w15:docId w15:val="{3783619E-87B0-457C-A299-9D0CDFCBC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7F404D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1522</Words>
  <Characters>8681</Characters>
  <Application>Microsoft Office Word</Application>
  <DocSecurity>0</DocSecurity>
  <Lines>72</Lines>
  <Paragraphs>20</Paragraphs>
  <ScaleCrop>false</ScaleCrop>
  <Company/>
  <LinksUpToDate>false</LinksUpToDate>
  <CharactersWithSpaces>10183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2024-02-01T03:18:00Z</dcterms:created>
  <dcterms:modified xsi:type="dcterms:W3CDTF">2024-02-01T03:19:00Z</dcterms:modified>
</cp:coreProperties>
</file>